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7F4" w14:textId="179DADF1" w:rsidR="0044149C" w:rsidRPr="006730B1" w:rsidRDefault="000449B9" w:rsidP="3E69C982">
      <w:pPr>
        <w:pStyle w:val="NormalWeb"/>
        <w:spacing w:line="360" w:lineRule="auto"/>
        <w:rPr>
          <w:rFonts w:ascii="Verdana" w:hAnsi="Verdana"/>
          <w:b/>
          <w:bCs/>
          <w:sz w:val="22"/>
          <w:szCs w:val="22"/>
        </w:rPr>
      </w:pPr>
      <w:r>
        <w:rPr>
          <w:rStyle w:val="Strong"/>
          <w:rFonts w:ascii="Verdana" w:hAnsi="Verdana"/>
          <w:sz w:val="22"/>
        </w:rPr>
        <w:t>Hamburgo/Stuttgart, 23 de marzo de 2026</w:t>
      </w:r>
      <w:r>
        <w:rPr>
          <w:rFonts w:ascii="Verdana" w:hAnsi="Verdana"/>
          <w:sz w:val="22"/>
        </w:rPr>
        <w:t xml:space="preserve"> </w:t>
      </w:r>
      <w:r>
        <w:rPr>
          <w:rFonts w:ascii="Verdana" w:hAnsi="Verdana"/>
          <w:b/>
          <w:sz w:val="22"/>
        </w:rPr>
        <w:t xml:space="preserve">– En la LogiMAT 2026, STILL presenta un auténtico hito en la intralogística: la primera solución lista para su comercialización y fabricada en serie para la carga y descarga autónoma de camiones, sin necesidad de tecnología de seguridad fija en el muelle. Con </w:t>
      </w:r>
      <w:proofErr w:type="gramStart"/>
      <w:r>
        <w:rPr>
          <w:rFonts w:ascii="Verdana" w:hAnsi="Verdana"/>
          <w:b/>
          <w:sz w:val="22"/>
        </w:rPr>
        <w:t>la transpaleta</w:t>
      </w:r>
      <w:proofErr w:type="gramEnd"/>
      <w:r>
        <w:rPr>
          <w:rFonts w:ascii="Verdana" w:hAnsi="Verdana"/>
          <w:b/>
          <w:sz w:val="22"/>
        </w:rPr>
        <w:t xml:space="preserve"> </w:t>
      </w:r>
      <w:r>
        <w:rPr>
          <w:rStyle w:val="Strong"/>
          <w:rFonts w:ascii="Verdana" w:hAnsi="Verdana"/>
          <w:sz w:val="22"/>
        </w:rPr>
        <w:t>AXL 15 iGo</w:t>
      </w:r>
      <w:r>
        <w:rPr>
          <w:rFonts w:ascii="Verdana" w:hAnsi="Verdana"/>
          <w:b/>
          <w:sz w:val="22"/>
        </w:rPr>
        <w:t>, el especialista en intralogística de Hamburgo cierra una de las últimas grandes brechas en la automatización de almacenes: la entrada y salida de mercancías en el muelle de carga de camiones.</w:t>
      </w:r>
    </w:p>
    <w:p w14:paraId="2CCBEA88" w14:textId="77777777" w:rsidR="000449B9" w:rsidRPr="000449B9" w:rsidRDefault="000449B9" w:rsidP="000449B9">
      <w:pPr>
        <w:pStyle w:val="NormalWeb"/>
        <w:spacing w:line="360" w:lineRule="auto"/>
        <w:rPr>
          <w:rFonts w:ascii="Verdana" w:hAnsi="Verdana"/>
          <w:sz w:val="22"/>
          <w:szCs w:val="22"/>
        </w:rPr>
      </w:pPr>
    </w:p>
    <w:p w14:paraId="64071B9C" w14:textId="6DD44473" w:rsidR="00982777" w:rsidRPr="000449B9" w:rsidRDefault="00715826" w:rsidP="000449B9">
      <w:pPr>
        <w:pStyle w:val="NormalWeb"/>
        <w:spacing w:line="360" w:lineRule="auto"/>
        <w:rPr>
          <w:rFonts w:ascii="Verdana" w:hAnsi="Verdana"/>
          <w:b/>
          <w:bCs/>
          <w:sz w:val="22"/>
          <w:szCs w:val="22"/>
        </w:rPr>
      </w:pPr>
      <w:r>
        <w:rPr>
          <w:rFonts w:ascii="Verdana" w:hAnsi="Verdana"/>
          <w:b/>
          <w:sz w:val="22"/>
        </w:rPr>
        <w:t>La automatización llega al muelle</w:t>
      </w:r>
    </w:p>
    <w:p w14:paraId="4891182C" w14:textId="40BE17CB" w:rsidR="006730B1" w:rsidRPr="000449B9" w:rsidRDefault="005E0B2E" w:rsidP="006730B1">
      <w:pPr>
        <w:pStyle w:val="NormalWeb"/>
        <w:spacing w:line="360" w:lineRule="auto"/>
        <w:rPr>
          <w:rFonts w:ascii="Verdana" w:hAnsi="Verdana"/>
          <w:sz w:val="22"/>
          <w:szCs w:val="22"/>
        </w:rPr>
      </w:pPr>
      <w:r>
        <w:rPr>
          <w:rFonts w:ascii="Verdana" w:hAnsi="Verdana"/>
          <w:sz w:val="22"/>
        </w:rPr>
        <w:t xml:space="preserve">El área del muelle se caracteriza por la presión del tiempo, la escasez de personal, el trabajo nocturno y las exigentes condiciones de trabajo, desde las cálidas temperaturas del verano hasta las frías del invierno. Además, hay que superar retos como el espacio reducido, las geometrías variables de los remolques y los elevados requisitos de seguridad. Mientras que en los almacenes de estanterías altas, la tecnología de transporte y el transporte interno están automatizados desde hace tiempo en muchas empresas, la carga y descarga de camiones apenas se consideraba susceptible de automatización industrial, hasta ahora: "Con la AXL 15 iGo, cubrimos un vacío que existía hasta ahora en la intralogística y, por primera vez, hacemos que la carga y descarga automatizada de camiones sea un proceso estandarizado y, por lo tanto, accesible para el gran público", explica el Doctor Florian Heydenreich, Director </w:t>
      </w:r>
      <w:r>
        <w:rPr>
          <w:rFonts w:ascii="Verdana" w:hAnsi="Verdana"/>
          <w:sz w:val="22"/>
        </w:rPr>
        <w:lastRenderedPageBreak/>
        <w:t xml:space="preserve">General Sales &amp; Service de STILL. "Nuestra solución hace que la entrada y salida de mercancías sea más eficiente, segura, previsible y fiable. La estandarización de los procesos de carga y descarga da lugar a procedimientos reproducibles, lo que aumenta considerablemente la estabilidad y la transparencia del proceso. Al mismo tiempo, </w:t>
      </w:r>
      <w:r>
        <w:rPr>
          <w:rFonts w:ascii="Verdana" w:hAnsi="Verdana"/>
          <w:color w:val="242424"/>
          <w:sz w:val="22"/>
        </w:rPr>
        <w:t>es otro pilar importante de nuestra estrategia para ofrecer y poner a disposición soluciones de automatización escalables para todas las áreas de la intralogística".</w:t>
      </w:r>
      <w:r>
        <w:rPr>
          <w:rFonts w:ascii="Verdana" w:hAnsi="Verdana"/>
          <w:sz w:val="22"/>
        </w:rPr>
        <w:t xml:space="preserve"> </w:t>
      </w:r>
    </w:p>
    <w:p w14:paraId="445AC994" w14:textId="77777777" w:rsidR="00982777" w:rsidRPr="000449B9" w:rsidRDefault="00982777" w:rsidP="000449B9">
      <w:pPr>
        <w:spacing w:line="360" w:lineRule="auto"/>
        <w:rPr>
          <w:rFonts w:ascii="Verdana" w:hAnsi="Verdana"/>
          <w:sz w:val="22"/>
          <w:szCs w:val="22"/>
        </w:rPr>
      </w:pPr>
    </w:p>
    <w:p w14:paraId="523B62FE" w14:textId="16ACA806" w:rsidR="00982777" w:rsidRPr="000449B9" w:rsidRDefault="00982777" w:rsidP="000449B9">
      <w:pPr>
        <w:spacing w:line="360" w:lineRule="auto"/>
        <w:rPr>
          <w:rFonts w:ascii="Verdana" w:hAnsi="Verdana"/>
          <w:b/>
          <w:bCs/>
          <w:sz w:val="22"/>
          <w:szCs w:val="22"/>
        </w:rPr>
      </w:pPr>
      <w:r>
        <w:rPr>
          <w:rFonts w:ascii="Verdana" w:hAnsi="Verdana"/>
          <w:b/>
          <w:sz w:val="22"/>
        </w:rPr>
        <w:t>30 palés en 35 minutos: autónomo, flexible y seguro.</w:t>
      </w:r>
    </w:p>
    <w:p w14:paraId="1B17CE07" w14:textId="4508B489" w:rsidR="005E0B2E" w:rsidRPr="000449B9" w:rsidRDefault="006756C7" w:rsidP="004B6D12">
      <w:pPr>
        <w:pStyle w:val="NormalWeb"/>
        <w:spacing w:line="360" w:lineRule="auto"/>
        <w:rPr>
          <w:rStyle w:val="relative"/>
          <w:rFonts w:ascii="Verdana" w:hAnsi="Verdana"/>
          <w:sz w:val="22"/>
          <w:szCs w:val="22"/>
        </w:rPr>
      </w:pPr>
      <w:r>
        <w:rPr>
          <w:rFonts w:ascii="Verdana" w:hAnsi="Verdana"/>
          <w:sz w:val="22"/>
        </w:rPr>
        <w:t xml:space="preserve">La </w:t>
      </w:r>
      <w:proofErr w:type="gramStart"/>
      <w:r>
        <w:rPr>
          <w:rFonts w:ascii="Verdana" w:hAnsi="Verdana"/>
          <w:sz w:val="22"/>
        </w:rPr>
        <w:t>transpaleta autónoma</w:t>
      </w:r>
      <w:proofErr w:type="gramEnd"/>
      <w:r>
        <w:rPr>
          <w:rFonts w:ascii="Verdana" w:hAnsi="Verdana"/>
          <w:sz w:val="22"/>
        </w:rPr>
        <w:t xml:space="preserve"> AXL 15 iGo ha sido especialmente desarrollada para la manipulación de camiones. Dos de </w:t>
      </w:r>
      <w:proofErr w:type="gramStart"/>
      <w:r>
        <w:rPr>
          <w:rFonts w:ascii="Verdana" w:hAnsi="Verdana"/>
          <w:sz w:val="22"/>
        </w:rPr>
        <w:t>estas transpaletas</w:t>
      </w:r>
      <w:proofErr w:type="gramEnd"/>
      <w:r>
        <w:rPr>
          <w:rFonts w:ascii="Verdana" w:hAnsi="Verdana"/>
          <w:sz w:val="22"/>
        </w:rPr>
        <w:t xml:space="preserve"> juntas pueden cargar de forma autónoma hasta </w:t>
      </w:r>
      <w:r>
        <w:rPr>
          <w:rStyle w:val="Strong"/>
          <w:rFonts w:ascii="Verdana" w:hAnsi="Verdana"/>
          <w:b w:val="0"/>
          <w:sz w:val="22"/>
        </w:rPr>
        <w:t>30 palés EPAL en un remolque en unos 35 minutos</w:t>
      </w:r>
      <w:r>
        <w:rPr>
          <w:rFonts w:ascii="Verdana" w:hAnsi="Verdana"/>
          <w:sz w:val="22"/>
        </w:rPr>
        <w:t xml:space="preserve">. Gracias a la innovadora lógica de localización y posicionamiento, combinada con un nuevo concepto de seguridad holístico, </w:t>
      </w:r>
      <w:proofErr w:type="gramStart"/>
      <w:r>
        <w:rPr>
          <w:rFonts w:ascii="Verdana" w:hAnsi="Verdana"/>
          <w:sz w:val="22"/>
        </w:rPr>
        <w:t>la transpaleta</w:t>
      </w:r>
      <w:proofErr w:type="gramEnd"/>
      <w:r>
        <w:rPr>
          <w:rFonts w:ascii="Verdana" w:hAnsi="Verdana"/>
          <w:sz w:val="22"/>
        </w:rPr>
        <w:t xml:space="preserve"> puede reconocer de forma autónoma la situación real en el remolque y posicionar los palés con máxima precisión. Especialmente interesante para los usuarios: La AXL 15 iGo no requiere ningún concepto adicional Safety at the Gate con instalaciones fijas, como escáneres o reflectores en el muelle o en el remolque, lo que hace que la solución sea especialmente flexible y fácil de implementar de forma rápida y sencilla.</w:t>
      </w:r>
    </w:p>
    <w:p w14:paraId="4133723E" w14:textId="3D03A646" w:rsidR="00982777" w:rsidRPr="000449B9" w:rsidRDefault="00982777" w:rsidP="000449B9">
      <w:pPr>
        <w:pStyle w:val="NormalWeb"/>
        <w:spacing w:line="360" w:lineRule="auto"/>
        <w:rPr>
          <w:rFonts w:ascii="Verdana" w:hAnsi="Verdana"/>
          <w:b/>
          <w:bCs/>
          <w:sz w:val="22"/>
          <w:szCs w:val="22"/>
        </w:rPr>
      </w:pPr>
    </w:p>
    <w:p w14:paraId="7623566B" w14:textId="44AE1174" w:rsidR="00982777" w:rsidRPr="000449B9" w:rsidRDefault="00B26D75" w:rsidP="000449B9">
      <w:pPr>
        <w:pStyle w:val="NormalWeb"/>
        <w:spacing w:line="360" w:lineRule="auto"/>
        <w:rPr>
          <w:rFonts w:ascii="Verdana" w:hAnsi="Verdana"/>
          <w:b/>
          <w:bCs/>
          <w:sz w:val="22"/>
          <w:szCs w:val="22"/>
        </w:rPr>
      </w:pPr>
      <w:r>
        <w:rPr>
          <w:rFonts w:ascii="Verdana" w:hAnsi="Verdana"/>
          <w:b/>
          <w:sz w:val="22"/>
        </w:rPr>
        <w:lastRenderedPageBreak/>
        <w:t>Tecnologías inteligentes para la seguridad y la precisión en espacios reducidos</w:t>
      </w:r>
    </w:p>
    <w:p w14:paraId="00BA90A2" w14:textId="667E40B4" w:rsidR="005E0B2E" w:rsidRPr="000449B9" w:rsidRDefault="00180E78" w:rsidP="000449B9">
      <w:pPr>
        <w:pStyle w:val="NormalWeb"/>
        <w:spacing w:line="360" w:lineRule="auto"/>
        <w:rPr>
          <w:rFonts w:ascii="Verdana" w:hAnsi="Verdana"/>
          <w:sz w:val="22"/>
          <w:szCs w:val="22"/>
        </w:rPr>
      </w:pPr>
      <w:r>
        <w:rPr>
          <w:rFonts w:ascii="Verdana" w:hAnsi="Verdana"/>
          <w:sz w:val="22"/>
        </w:rPr>
        <w:t xml:space="preserve">Para garantizar un manejo seguro y una navegación precisa, la AXL 15 iGo combina dos tecnologías diferentes: Fuera del remolque, utiliza la moderna </w:t>
      </w:r>
      <w:r>
        <w:rPr>
          <w:rStyle w:val="Strong"/>
          <w:rFonts w:ascii="Verdana" w:hAnsi="Verdana"/>
          <w:b w:val="0"/>
          <w:sz w:val="22"/>
        </w:rPr>
        <w:t>tecnología 3D Visual SLAM. Con la ayuda de sensores, detecta de forma fiable y temprana si un camión se aleja inesperadamente del muelle durante el proceso de carga y detiene automáticamente su marcha, tanto al entrar en el remolque como al regresar al almacén. Tan pronto como la AXL 15 iGo entra en funcionamiento en el remolque,</w:t>
      </w:r>
      <w:r>
        <w:rPr>
          <w:rFonts w:ascii="Verdana" w:hAnsi="Verdana"/>
          <w:sz w:val="22"/>
        </w:rPr>
        <w:t xml:space="preserve"> el sistema cambia automáticamente a una localización basada en LiDAR para un trabajo con precisión centimétrica y la máxima flexibilidad. Los escáneres de seguridad LiDAR, los sistemas de cámaras y las señales de advertencia visuales y acústicas garantizan que las personas y los obstáculos se detecten y protejan de forma fiable, incluso en espacios reducidos. El reconocimiento de palés 3D integrado permite además la manipulación segura de palés ligeramente desplazados o no colocados de forma ideal en lugares fijos definidos. </w:t>
      </w:r>
    </w:p>
    <w:p w14:paraId="1F7D1BF5" w14:textId="77777777" w:rsidR="00DF32CD" w:rsidRDefault="00DF32CD" w:rsidP="000449B9">
      <w:pPr>
        <w:pStyle w:val="NormalWeb"/>
        <w:spacing w:line="360" w:lineRule="auto"/>
        <w:rPr>
          <w:rFonts w:ascii="Verdana" w:hAnsi="Verdana"/>
          <w:b/>
          <w:bCs/>
          <w:sz w:val="22"/>
          <w:szCs w:val="22"/>
        </w:rPr>
      </w:pPr>
    </w:p>
    <w:p w14:paraId="0FA648E3" w14:textId="77777777" w:rsidR="005E0B2E" w:rsidRPr="00DF32CD" w:rsidRDefault="005E0B2E" w:rsidP="000449B9">
      <w:pPr>
        <w:pStyle w:val="NormalWeb"/>
        <w:spacing w:line="360" w:lineRule="auto"/>
        <w:rPr>
          <w:rFonts w:ascii="Verdana" w:hAnsi="Verdana"/>
          <w:b/>
          <w:sz w:val="22"/>
          <w:szCs w:val="22"/>
        </w:rPr>
      </w:pPr>
      <w:r>
        <w:rPr>
          <w:rFonts w:ascii="Verdana" w:hAnsi="Verdana"/>
          <w:b/>
          <w:sz w:val="22"/>
        </w:rPr>
        <w:t>Aplicable en todos los sectores</w:t>
      </w:r>
    </w:p>
    <w:p w14:paraId="32234E88" w14:textId="184EC1BE" w:rsidR="005E0B2E" w:rsidRDefault="005E0B2E" w:rsidP="3E69C982">
      <w:pPr>
        <w:pStyle w:val="NormalWeb"/>
        <w:spacing w:line="360" w:lineRule="auto"/>
        <w:rPr>
          <w:rFonts w:ascii="Verdana" w:hAnsi="Verdana"/>
          <w:sz w:val="22"/>
          <w:szCs w:val="22"/>
        </w:rPr>
      </w:pPr>
      <w:r>
        <w:rPr>
          <w:rFonts w:ascii="Verdana" w:hAnsi="Verdana"/>
          <w:sz w:val="22"/>
        </w:rPr>
        <w:t xml:space="preserve">La solución es especialmente adecuada para sectores con un alto volumen de palés y unidades de carga estandarizadas, como proveedores de servicios 3PL, logística alimentaria y minorista, así como empresas manufactureras. Con una capacidad de carga de hasta 1.500 kg y una velocidad de hasta 2 m/s, la AXL 15 iGo está diseñada </w:t>
      </w:r>
      <w:r>
        <w:rPr>
          <w:rFonts w:ascii="Verdana" w:hAnsi="Verdana"/>
          <w:sz w:val="22"/>
        </w:rPr>
        <w:lastRenderedPageBreak/>
        <w:t>para satisfacer las exigencias industriales. La integración escalable en la flota se realiza a través de la interfaz estándar VDA 5050 y un Fleetmanager, así como a través de interfaces abiertas (API) con sistemas de gestión de almacenes.</w:t>
      </w:r>
    </w:p>
    <w:p w14:paraId="5BA61D5D" w14:textId="77777777" w:rsidR="008E3617" w:rsidRDefault="008E3617" w:rsidP="000449B9">
      <w:pPr>
        <w:pStyle w:val="NormalWeb"/>
        <w:spacing w:line="360" w:lineRule="auto"/>
        <w:rPr>
          <w:rFonts w:ascii="Verdana" w:hAnsi="Verdana"/>
          <w:b/>
          <w:sz w:val="22"/>
          <w:szCs w:val="22"/>
        </w:rPr>
      </w:pPr>
    </w:p>
    <w:p w14:paraId="1C06641B" w14:textId="61D87649" w:rsidR="005063E8" w:rsidRPr="00032C2D" w:rsidRDefault="005063E8" w:rsidP="000449B9">
      <w:pPr>
        <w:pStyle w:val="NormalWeb"/>
        <w:spacing w:line="360" w:lineRule="auto"/>
        <w:rPr>
          <w:rFonts w:ascii="Verdana" w:hAnsi="Verdana"/>
          <w:b/>
          <w:sz w:val="22"/>
          <w:szCs w:val="22"/>
        </w:rPr>
      </w:pPr>
      <w:r>
        <w:rPr>
          <w:rFonts w:ascii="Verdana" w:hAnsi="Verdana"/>
          <w:b/>
          <w:sz w:val="22"/>
        </w:rPr>
        <w:t>Estreno en LogiMAT 2026: disponible a partir de ahora.</w:t>
      </w:r>
    </w:p>
    <w:p w14:paraId="08324B76" w14:textId="4C2C1D9C" w:rsidR="0050062F" w:rsidRDefault="005063E8" w:rsidP="00CB1E2A">
      <w:pPr>
        <w:pStyle w:val="NormalWeb"/>
        <w:spacing w:line="360" w:lineRule="auto"/>
        <w:rPr>
          <w:rFonts w:ascii="Verdana" w:hAnsi="Verdana"/>
          <w:sz w:val="22"/>
          <w:szCs w:val="22"/>
        </w:rPr>
      </w:pPr>
      <w:r>
        <w:rPr>
          <w:rFonts w:ascii="Verdana" w:hAnsi="Verdana"/>
          <w:sz w:val="22"/>
        </w:rPr>
        <w:t xml:space="preserve">STILL presenta la AXL 15 iGo al público por primera vez en la LogiMAT 2026. A continuación, </w:t>
      </w:r>
      <w:proofErr w:type="gramStart"/>
      <w:r>
        <w:rPr>
          <w:rFonts w:ascii="Verdana" w:hAnsi="Verdana"/>
          <w:sz w:val="22"/>
        </w:rPr>
        <w:t>la transpaleta</w:t>
      </w:r>
      <w:proofErr w:type="gramEnd"/>
      <w:r>
        <w:rPr>
          <w:rFonts w:ascii="Verdana" w:hAnsi="Verdana"/>
          <w:sz w:val="22"/>
        </w:rPr>
        <w:t xml:space="preserve"> estará disponible de inmediato. "Nuestros clientes desean soluciones disponibles. Por eso hemos optado deliberadamente por un lanzamiento realista e industrial", explica el Doctor Florian Heydenreich. "La AXL 15 iGo no es un prototipo, sino una solución lista para salir al mercado destinada a la carga y descarga autónoma de remolques de paredes rígidas y flexibles con unas condiciones marco claramente definidas".</w:t>
      </w:r>
    </w:p>
    <w:p w14:paraId="4903F4F5" w14:textId="5C2B2048" w:rsidR="008C75BB" w:rsidRPr="003B7009" w:rsidRDefault="006C354D" w:rsidP="003B7009">
      <w:pPr>
        <w:pStyle w:val="NormalWeb"/>
        <w:spacing w:line="360" w:lineRule="auto"/>
        <w:rPr>
          <w:rFonts w:ascii="Verdana" w:hAnsi="Verdana"/>
          <w:sz w:val="22"/>
          <w:szCs w:val="22"/>
        </w:rPr>
      </w:pPr>
      <w:r>
        <w:rPr>
          <w:rFonts w:ascii="Verdana" w:hAnsi="Verdana"/>
          <w:sz w:val="22"/>
        </w:rPr>
        <w:t xml:space="preserve">STILL estará presente en la LogiMAT 2026, en el pabellón 10, stands B 40 y 41. </w:t>
      </w:r>
    </w:p>
    <w:p w14:paraId="24FD9AED" w14:textId="77777777" w:rsidR="008C75BB" w:rsidRDefault="008C75BB" w:rsidP="00F47C3B">
      <w:pPr>
        <w:pStyle w:val="EinfacherAbsatz"/>
        <w:spacing w:line="360" w:lineRule="auto"/>
        <w:rPr>
          <w:rFonts w:ascii="Verdana" w:hAnsi="Verdana"/>
          <w:b/>
          <w:bCs/>
          <w:sz w:val="22"/>
          <w:szCs w:val="22"/>
        </w:rPr>
      </w:pPr>
    </w:p>
    <w:p w14:paraId="779416B5" w14:textId="37D94374" w:rsidR="006C354D" w:rsidRDefault="006C354D" w:rsidP="00F47C3B">
      <w:pPr>
        <w:pStyle w:val="EinfacherAbsatz"/>
        <w:spacing w:line="360" w:lineRule="auto"/>
        <w:rPr>
          <w:rFonts w:ascii="Verdana" w:hAnsi="Verdana"/>
          <w:b/>
          <w:bCs/>
          <w:sz w:val="22"/>
          <w:szCs w:val="22"/>
        </w:rPr>
      </w:pPr>
      <w:r>
        <w:rPr>
          <w:rFonts w:ascii="Verdana" w:hAnsi="Verdana"/>
          <w:b/>
          <w:sz w:val="22"/>
        </w:rPr>
        <w:t>Acerca de STILL</w:t>
      </w:r>
    </w:p>
    <w:p w14:paraId="27D20633" w14:textId="5C357980" w:rsidR="00A2590D" w:rsidRPr="00505EB6" w:rsidRDefault="00A2590D" w:rsidP="00F47C3B">
      <w:pPr>
        <w:pStyle w:val="EinfacherAbsatz"/>
        <w:spacing w:line="360" w:lineRule="auto"/>
        <w:rPr>
          <w:rFonts w:ascii="Verdana" w:hAnsi="Verdana"/>
          <w:color w:val="auto"/>
          <w:sz w:val="22"/>
          <w:szCs w:val="22"/>
        </w:rPr>
      </w:pPr>
      <w:r>
        <w:rPr>
          <w:rFonts w:ascii="Verdana" w:hAnsi="Verdana"/>
          <w:color w:val="auto"/>
          <w:sz w:val="22"/>
        </w:rPr>
        <w:t xml:space="preserve">STILL es un proveedor líder de soluciones logísticas en planta. La gama incluye carretillas elevadoras, técnica de almacenamiento, sistemas en red y servicios. Fundada en 1920 por Hans Still, la empresa se caracteriza por ofrecer soluciones personalizadas y a medida con un servicio excelente. STILL se ha fijado el objetivo de hacer "inteligente" la intralogística: desarrollar soluciones inteligentes que hagan más fluidos y eficientes los procesos de gestión de almacenes, protejan mejor la salud de </w:t>
      </w:r>
      <w:r>
        <w:rPr>
          <w:rFonts w:ascii="Verdana" w:hAnsi="Verdana"/>
          <w:color w:val="auto"/>
          <w:sz w:val="22"/>
        </w:rPr>
        <w:lastRenderedPageBreak/>
        <w:t>las personas que trabajan en ellos y, al mismo tiempo, cumplan las normas más estrictas de sostenibilidad. Por ello, STILL está impulsando nuevas soluciones para la movilidad eléctrica y la automatización, para la gestión de flotas y energía y para la circularidad, es decir, la conservación coherente de los recursos y el reciclaje de los materiales utilizados. STILL tiene su sede en Hamburgo, emplea a unas 7.100 personas, está presente en 89 países y forma parte del grupo KION Group AG, que cotiza en bolsa.</w:t>
      </w:r>
    </w:p>
    <w:p w14:paraId="2C32DFA4" w14:textId="77777777" w:rsidR="001A55FB" w:rsidRPr="00B77655" w:rsidRDefault="001A55FB" w:rsidP="001A55FB">
      <w:pPr>
        <w:jc w:val="both"/>
        <w:rPr>
          <w:b/>
          <w:bCs/>
          <w:sz w:val="22"/>
          <w:szCs w:val="22"/>
        </w:rPr>
      </w:pPr>
      <w:r w:rsidRPr="00941E18">
        <w:rPr>
          <w:sz w:val="22"/>
          <w:szCs w:val="22"/>
        </w:rPr>
        <w:t xml:space="preserve">Más información en nuestra web </w:t>
      </w:r>
      <w:hyperlink r:id="rId11" w:history="1">
        <w:r w:rsidRPr="00941E18">
          <w:rPr>
            <w:b/>
            <w:bCs/>
            <w:color w:val="F96915"/>
            <w:sz w:val="22"/>
            <w:szCs w:val="22"/>
          </w:rPr>
          <w:t>https://www.still.es/</w:t>
        </w:r>
      </w:hyperlink>
      <w:r w:rsidRPr="00941E18">
        <w:rPr>
          <w:sz w:val="22"/>
          <w:szCs w:val="22"/>
        </w:rPr>
        <w:t xml:space="preserve"> o en LinkedIn </w:t>
      </w:r>
      <w:hyperlink r:id="rId12" w:history="1">
        <w:r w:rsidRPr="00941E18">
          <w:rPr>
            <w:b/>
            <w:bCs/>
            <w:color w:val="F96915"/>
            <w:sz w:val="22"/>
            <w:szCs w:val="22"/>
          </w:rPr>
          <w:t>https://www.linkedin.com/company/still-españa/</w:t>
        </w:r>
      </w:hyperlink>
      <w:r w:rsidRPr="00941E18">
        <w:rPr>
          <w:b/>
          <w:bCs/>
          <w:sz w:val="22"/>
          <w:szCs w:val="22"/>
        </w:rPr>
        <w:t>.</w:t>
      </w:r>
    </w:p>
    <w:p w14:paraId="291277A2" w14:textId="2C4D4A94" w:rsidR="004320C5" w:rsidRPr="000C2C2A" w:rsidRDefault="004320C5" w:rsidP="001A55FB">
      <w:pPr>
        <w:pStyle w:val="EinfacherAbsatz"/>
        <w:snapToGrid w:val="0"/>
        <w:spacing w:after="120" w:line="360" w:lineRule="auto"/>
        <w:rPr>
          <w:rFonts w:ascii="Verdana" w:hAnsi="Verdana"/>
          <w:b/>
          <w:color w:val="F96915"/>
          <w:sz w:val="22"/>
          <w:szCs w:val="22"/>
        </w:rPr>
      </w:pPr>
    </w:p>
    <w:sectPr w:rsidR="004320C5" w:rsidRPr="000C2C2A" w:rsidSect="00D573C5">
      <w:headerReference w:type="default" r:id="rId13"/>
      <w:footerReference w:type="default" r:id="rId14"/>
      <w:headerReference w:type="first" r:id="rId15"/>
      <w:footerReference w:type="first" r:id="rId16"/>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339E" w14:textId="77777777" w:rsidR="00C73FE4" w:rsidRDefault="00C73FE4">
      <w:r>
        <w:separator/>
      </w:r>
    </w:p>
  </w:endnote>
  <w:endnote w:type="continuationSeparator" w:id="0">
    <w:p w14:paraId="0EF06D25" w14:textId="77777777" w:rsidR="00C73FE4" w:rsidRDefault="00C73FE4">
      <w:r>
        <w:continuationSeparator/>
      </w:r>
    </w:p>
  </w:endnote>
  <w:endnote w:type="continuationNotice" w:id="1">
    <w:p w14:paraId="359EF465" w14:textId="77777777" w:rsidR="00C73FE4" w:rsidRDefault="00C7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Lato Light">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2CAF" w14:textId="77777777" w:rsidR="00EC2769" w:rsidRDefault="00EC2769" w:rsidP="00EC2769">
    <w:pPr>
      <w:pStyle w:val="Footer"/>
      <w:rPr>
        <w:rFonts w:ascii="Lato Light" w:hAnsi="Lato Light"/>
        <w:b/>
        <w:bCs/>
        <w:sz w:val="20"/>
        <w:szCs w:val="20"/>
      </w:rPr>
    </w:pPr>
  </w:p>
  <w:p w14:paraId="2CE0E2C2" w14:textId="77777777" w:rsidR="00EC2769" w:rsidRPr="004D3530" w:rsidRDefault="00EC2769" w:rsidP="00EC2769">
    <w:pPr>
      <w:pStyle w:val="Footer"/>
      <w:rPr>
        <w:b/>
        <w:bCs/>
        <w:sz w:val="20"/>
        <w:szCs w:val="20"/>
        <w:lang w:val="pt-PT"/>
      </w:rPr>
    </w:pPr>
    <w:r w:rsidRPr="004D3530">
      <w:rPr>
        <w:b/>
        <w:bCs/>
        <w:sz w:val="20"/>
        <w:szCs w:val="20"/>
        <w:lang w:val="pt-PT"/>
      </w:rPr>
      <w:t xml:space="preserve">Contactos de prensa: </w:t>
    </w:r>
  </w:p>
  <w:p w14:paraId="4A67F442" w14:textId="77777777" w:rsidR="00EC2769" w:rsidRPr="004D3530" w:rsidRDefault="00EC2769" w:rsidP="00EC2769">
    <w:pPr>
      <w:pStyle w:val="Footer"/>
      <w:rPr>
        <w:sz w:val="20"/>
        <w:szCs w:val="20"/>
        <w:lang w:val="pt-PT"/>
      </w:rPr>
    </w:pPr>
  </w:p>
  <w:p w14:paraId="11126DC5" w14:textId="77777777" w:rsidR="00EC2769" w:rsidRPr="004D3530" w:rsidRDefault="00EC2769" w:rsidP="00EC2769">
    <w:pPr>
      <w:pStyle w:val="Footer"/>
      <w:rPr>
        <w:sz w:val="20"/>
        <w:szCs w:val="20"/>
        <w:lang w:val="pt-PT"/>
      </w:rPr>
    </w:pPr>
    <w:r>
      <w:rPr>
        <w:sz w:val="20"/>
        <w:szCs w:val="20"/>
        <w:lang w:val="pt-PT"/>
      </w:rPr>
      <w:t>Patricia Lostado</w:t>
    </w:r>
    <w:r w:rsidRPr="004D3530">
      <w:rPr>
        <w:sz w:val="20"/>
        <w:szCs w:val="20"/>
        <w:lang w:val="pt-PT"/>
      </w:rPr>
      <w:tab/>
    </w:r>
    <w:r w:rsidRPr="004D3530">
      <w:rPr>
        <w:sz w:val="20"/>
        <w:szCs w:val="20"/>
        <w:lang w:val="pt-PT"/>
      </w:rPr>
      <w:tab/>
    </w:r>
  </w:p>
  <w:p w14:paraId="0B09DC03" w14:textId="77777777" w:rsidR="00EC2769" w:rsidRPr="004D3530" w:rsidRDefault="00EC2769" w:rsidP="00EC2769">
    <w:pPr>
      <w:pStyle w:val="Footer"/>
      <w:rPr>
        <w:sz w:val="20"/>
        <w:szCs w:val="20"/>
        <w:lang w:val="pt-PT"/>
      </w:rPr>
    </w:pPr>
    <w:hyperlink r:id="rId1" w:history="1">
      <w:r w:rsidRPr="00E85098">
        <w:rPr>
          <w:rStyle w:val="Hyperlink"/>
          <w:sz w:val="20"/>
          <w:szCs w:val="20"/>
          <w:lang w:val="pt-PT"/>
        </w:rPr>
        <w:t>patricia@nal3.com</w:t>
      </w:r>
    </w:hyperlink>
    <w:r w:rsidRPr="004D3530">
      <w:rPr>
        <w:sz w:val="20"/>
        <w:szCs w:val="20"/>
        <w:lang w:val="pt-PT"/>
      </w:rPr>
      <w:tab/>
    </w:r>
    <w:r w:rsidRPr="004D3530">
      <w:rPr>
        <w:sz w:val="20"/>
        <w:szCs w:val="20"/>
        <w:lang w:val="pt-PT"/>
      </w:rPr>
      <w:tab/>
    </w:r>
  </w:p>
  <w:p w14:paraId="144A1078" w14:textId="77777777" w:rsidR="00EC2769" w:rsidRPr="004D3530" w:rsidRDefault="00EC2769" w:rsidP="00EC2769">
    <w:pPr>
      <w:pStyle w:val="Footer"/>
      <w:rPr>
        <w:sz w:val="20"/>
        <w:szCs w:val="20"/>
        <w:lang w:val="pt-PT"/>
      </w:rPr>
    </w:pPr>
  </w:p>
  <w:p w14:paraId="63AB769A" w14:textId="386FC892" w:rsidR="002D6C75" w:rsidRPr="00EC2769" w:rsidRDefault="00EC2769" w:rsidP="00EC2769">
    <w:pPr>
      <w:pStyle w:val="Footer"/>
      <w:jc w:val="center"/>
      <w:rPr>
        <w:sz w:val="20"/>
        <w:szCs w:val="20"/>
      </w:rPr>
    </w:pPr>
    <w:r w:rsidRPr="009E6A29">
      <w:rPr>
        <w:sz w:val="20"/>
        <w:szCs w:val="20"/>
      </w:rPr>
      <w:t>93 238 80 80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E220" w14:textId="77777777" w:rsidR="00EC2769" w:rsidRDefault="00EC2769" w:rsidP="00EC2769">
    <w:pPr>
      <w:pStyle w:val="Footer"/>
      <w:rPr>
        <w:rFonts w:ascii="Lato Light" w:hAnsi="Lato Light"/>
        <w:b/>
        <w:bCs/>
        <w:sz w:val="20"/>
        <w:szCs w:val="20"/>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6418D87D" w14:textId="77777777" w:rsidR="00EC2769" w:rsidRPr="004D3530" w:rsidRDefault="00EC2769" w:rsidP="00EC2769">
    <w:pPr>
      <w:pStyle w:val="Footer"/>
      <w:rPr>
        <w:b/>
        <w:bCs/>
        <w:sz w:val="20"/>
        <w:szCs w:val="20"/>
        <w:lang w:val="pt-PT"/>
      </w:rPr>
    </w:pPr>
    <w:r w:rsidRPr="004D3530">
      <w:rPr>
        <w:b/>
        <w:bCs/>
        <w:sz w:val="20"/>
        <w:szCs w:val="20"/>
        <w:lang w:val="pt-PT"/>
      </w:rPr>
      <w:t xml:space="preserve">Contactos de prensa: </w:t>
    </w:r>
  </w:p>
  <w:p w14:paraId="28361EB6" w14:textId="77777777" w:rsidR="00EC2769" w:rsidRPr="004D3530" w:rsidRDefault="00EC2769" w:rsidP="00EC2769">
    <w:pPr>
      <w:pStyle w:val="Footer"/>
      <w:rPr>
        <w:sz w:val="20"/>
        <w:szCs w:val="20"/>
        <w:lang w:val="pt-PT"/>
      </w:rPr>
    </w:pPr>
  </w:p>
  <w:p w14:paraId="3F44E3CA" w14:textId="77777777" w:rsidR="00EC2769" w:rsidRPr="004D3530" w:rsidRDefault="00EC2769" w:rsidP="00EC2769">
    <w:pPr>
      <w:pStyle w:val="Footer"/>
      <w:rPr>
        <w:sz w:val="20"/>
        <w:szCs w:val="20"/>
        <w:lang w:val="pt-PT"/>
      </w:rPr>
    </w:pPr>
    <w:r>
      <w:rPr>
        <w:sz w:val="20"/>
        <w:szCs w:val="20"/>
        <w:lang w:val="pt-PT"/>
      </w:rPr>
      <w:t>Patricia Lostado</w:t>
    </w:r>
    <w:r w:rsidRPr="004D3530">
      <w:rPr>
        <w:sz w:val="20"/>
        <w:szCs w:val="20"/>
        <w:lang w:val="pt-PT"/>
      </w:rPr>
      <w:tab/>
    </w:r>
    <w:r w:rsidRPr="004D3530">
      <w:rPr>
        <w:sz w:val="20"/>
        <w:szCs w:val="20"/>
        <w:lang w:val="pt-PT"/>
      </w:rPr>
      <w:tab/>
    </w:r>
  </w:p>
  <w:p w14:paraId="50E394A6" w14:textId="77777777" w:rsidR="00EC2769" w:rsidRPr="004D3530" w:rsidRDefault="00EC2769" w:rsidP="00EC2769">
    <w:pPr>
      <w:pStyle w:val="Footer"/>
      <w:rPr>
        <w:sz w:val="20"/>
        <w:szCs w:val="20"/>
        <w:lang w:val="pt-PT"/>
      </w:rPr>
    </w:pPr>
    <w:hyperlink r:id="rId1" w:history="1">
      <w:r w:rsidRPr="00E85098">
        <w:rPr>
          <w:rStyle w:val="Hyperlink"/>
          <w:sz w:val="20"/>
          <w:szCs w:val="20"/>
          <w:lang w:val="pt-PT"/>
        </w:rPr>
        <w:t>patricia@nal3.com</w:t>
      </w:r>
    </w:hyperlink>
    <w:r w:rsidRPr="004D3530">
      <w:rPr>
        <w:sz w:val="20"/>
        <w:szCs w:val="20"/>
        <w:lang w:val="pt-PT"/>
      </w:rPr>
      <w:tab/>
    </w:r>
    <w:r w:rsidRPr="004D3530">
      <w:rPr>
        <w:sz w:val="20"/>
        <w:szCs w:val="20"/>
        <w:lang w:val="pt-PT"/>
      </w:rPr>
      <w:tab/>
    </w:r>
  </w:p>
  <w:p w14:paraId="45CA7D18" w14:textId="77777777" w:rsidR="00EC2769" w:rsidRPr="004D3530" w:rsidRDefault="00EC2769" w:rsidP="00EC2769">
    <w:pPr>
      <w:pStyle w:val="Footer"/>
      <w:rPr>
        <w:sz w:val="20"/>
        <w:szCs w:val="20"/>
        <w:lang w:val="pt-PT"/>
      </w:rPr>
    </w:pPr>
  </w:p>
  <w:p w14:paraId="6327B91A" w14:textId="5EDF1112" w:rsidR="004320C5" w:rsidRPr="00EC2769" w:rsidRDefault="00EC2769" w:rsidP="00EC2769">
    <w:pPr>
      <w:pStyle w:val="Footer"/>
      <w:jc w:val="center"/>
      <w:rPr>
        <w:sz w:val="20"/>
        <w:szCs w:val="20"/>
      </w:rPr>
    </w:pPr>
    <w:r w:rsidRPr="009E6A29">
      <w:rPr>
        <w:sz w:val="20"/>
        <w:szCs w:val="20"/>
      </w:rPr>
      <w:t>93 238 80 80</w:t>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F372" w14:textId="77777777" w:rsidR="00C73FE4" w:rsidRDefault="00C73FE4">
      <w:r>
        <w:separator/>
      </w:r>
    </w:p>
  </w:footnote>
  <w:footnote w:type="continuationSeparator" w:id="0">
    <w:p w14:paraId="4D2DF85A" w14:textId="77777777" w:rsidR="00C73FE4" w:rsidRDefault="00C73FE4">
      <w:r>
        <w:continuationSeparator/>
      </w:r>
    </w:p>
  </w:footnote>
  <w:footnote w:type="continuationNotice" w:id="1">
    <w:p w14:paraId="6C479F37" w14:textId="77777777" w:rsidR="00C73FE4" w:rsidRDefault="00C73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484" w14:textId="7AA416FA" w:rsidR="004320C5" w:rsidRPr="002A44D9" w:rsidRDefault="00003B87" w:rsidP="00183ECF">
    <w:pPr>
      <w:spacing w:line="360" w:lineRule="auto"/>
      <w:jc w:val="center"/>
      <w:rPr>
        <w:rFonts w:ascii="Verdana" w:hAnsi="Verdana"/>
        <w:sz w:val="22"/>
        <w:szCs w:val="22"/>
      </w:rPr>
    </w:pPr>
    <w:r>
      <w:rPr>
        <w:rFonts w:ascii="Verdana" w:hAnsi="Verdana"/>
        <w:noProof/>
        <w:sz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7777777" w:rsidR="00D81F69" w:rsidRPr="00EC4EE6" w:rsidRDefault="00D81F69" w:rsidP="00D81F69">
                          <w:pPr>
                            <w:jc w:val="center"/>
                            <w:rPr>
                              <w:b/>
                              <w:sz w:val="36"/>
                              <w:szCs w:val="36"/>
                            </w:rPr>
                          </w:pPr>
                          <w:r>
                            <w:rPr>
                              <w:b/>
                              <w:sz w:val="36"/>
                            </w:rPr>
                            <w:t>Comunicado de prensa · Press Release</w:t>
                          </w:r>
                        </w:p>
                      </w:txbxContent>
                    </wps:txbx>
                    <wps:bodyPr rot="0" vert="horz" wrap="square" lIns="91440" tIns="45720" rIns="91440" bIns="45720" anchor="t" anchorCtr="0">
                      <a:noAutofit/>
                    </wps:bodyPr>
                  </wps:wsp>
                </a:graphicData>
              </a:graphic>
            </wp:anchor>
          </w:drawing>
        </mc:Choice>
        <mc:Fallback>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7777777" w:rsidR="00D81F69" w:rsidRPr="00EC4EE6" w:rsidRDefault="00D81F69" w:rsidP="00D81F69">
                    <w:pPr>
                      <w:jc w:val="center"/>
                      <w:rPr>
                        <w:b/>
                        <w:sz w:val="36"/>
                        <w:szCs w:val="36"/>
                      </w:rPr>
                    </w:pPr>
                    <w:r>
                      <w:rPr>
                        <w:b/>
                        <w:sz w:val="36"/>
                      </w:rPr>
                      <w:t>Comunicado de prensa · Press Release</w:t>
                    </w:r>
                  </w:p>
                </w:txbxContent>
              </v:textbox>
              <w10:wrap anchorx="margin"/>
            </v:shape>
          </w:pict>
        </mc:Fallback>
      </mc:AlternateContent>
    </w:r>
    <w:r>
      <w:rPr>
        <w:rFonts w:ascii="Verdana" w:hAnsi="Verdana"/>
        <w:noProof/>
        <w:sz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2"/>
      </w:rPr>
      <w:t xml:space="preserve">- </w:t>
    </w:r>
    <w:r w:rsidR="004320C5" w:rsidRPr="008E3C79">
      <w:rPr>
        <w:rFonts w:ascii="Verdana" w:hAnsi="Verdana"/>
        <w:sz w:val="22"/>
      </w:rPr>
      <w:fldChar w:fldCharType="begin"/>
    </w:r>
    <w:r w:rsidR="004320C5" w:rsidRPr="002A44D9">
      <w:rPr>
        <w:rFonts w:ascii="Verdana" w:hAnsi="Verdana"/>
        <w:sz w:val="22"/>
      </w:rPr>
      <w:instrText>PAGE</w:instrText>
    </w:r>
    <w:r w:rsidR="004320C5" w:rsidRPr="008E3C79">
      <w:rPr>
        <w:rFonts w:ascii="Verdana" w:hAnsi="Verdana"/>
        <w:sz w:val="22"/>
      </w:rPr>
      <w:fldChar w:fldCharType="separate"/>
    </w:r>
    <w:r w:rsidR="00095051" w:rsidRPr="002A44D9">
      <w:rPr>
        <w:rFonts w:ascii="Verdana" w:hAnsi="Verdana"/>
        <w:sz w:val="22"/>
      </w:rPr>
      <w:t>2</w:t>
    </w:r>
    <w:r w:rsidR="004320C5" w:rsidRPr="008E3C79">
      <w:rPr>
        <w:rFonts w:ascii="Verdana" w:hAnsi="Verdana"/>
        <w:sz w:val="22"/>
      </w:rPr>
      <w:fldChar w:fldCharType="end"/>
    </w:r>
    <w:r>
      <w:rPr>
        <w:rFonts w:ascii="Verdana" w:hAnsi="Verdana"/>
        <w:sz w:val="22"/>
      </w:rPr>
      <w:t xml:space="preserve"> -</w:t>
    </w:r>
  </w:p>
  <w:p w14:paraId="5A6F3679" w14:textId="0D8E6312" w:rsidR="00451C10" w:rsidRPr="00E35745" w:rsidRDefault="000F73D3" w:rsidP="00A64348">
    <w:pPr>
      <w:pStyle w:val="Header"/>
      <w:tabs>
        <w:tab w:val="clear" w:pos="9071"/>
      </w:tabs>
      <w:spacing w:line="360" w:lineRule="auto"/>
      <w:ind w:right="-8"/>
      <w:rPr>
        <w:rFonts w:ascii="Verdana" w:hAnsi="Verdana" w:cs="Times New Roman"/>
        <w:b/>
        <w:bCs/>
        <w:sz w:val="22"/>
        <w:szCs w:val="22"/>
      </w:rPr>
    </w:pPr>
    <w:r>
      <w:rPr>
        <w:rFonts w:ascii="Verdana" w:hAnsi="Verdana"/>
        <w:b/>
        <w:sz w:val="32"/>
      </w:rPr>
      <w:t>STILL presenta una novedad mundial: La AXL 15 iGo automatiza la carga y descarga de camiones</w:t>
    </w:r>
    <w:r>
      <w:rPr>
        <w:rFonts w:ascii="Verdana" w:hAnsi="Verdana"/>
        <w:b/>
        <w:sz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83" w14:textId="7B4A3E07" w:rsidR="00930008" w:rsidRPr="00930008" w:rsidRDefault="007A5B52" w:rsidP="007D4EBB">
    <w:pPr>
      <w:pStyle w:val="Header"/>
      <w:tabs>
        <w:tab w:val="clear" w:pos="9071"/>
      </w:tabs>
      <w:spacing w:line="360" w:lineRule="auto"/>
      <w:ind w:right="-8"/>
      <w:rPr>
        <w:rFonts w:ascii="Verdana" w:hAnsi="Verdana" w:cs="Times New Roman"/>
        <w:bCs/>
        <w:sz w:val="20"/>
        <w:szCs w:val="20"/>
      </w:rPr>
    </w:pPr>
    <w:r>
      <w:rPr>
        <w:rFonts w:ascii="Verdana" w:hAnsi="Verdana"/>
        <w:noProof/>
        <w:sz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77777777" w:rsidR="00192633" w:rsidRPr="00EC4EE6" w:rsidRDefault="00192633" w:rsidP="00192633">
                          <w:pPr>
                            <w:jc w:val="center"/>
                            <w:rPr>
                              <w:b/>
                              <w:sz w:val="36"/>
                              <w:szCs w:val="36"/>
                            </w:rPr>
                          </w:pPr>
                          <w:r>
                            <w:rPr>
                              <w:b/>
                              <w:sz w:val="36"/>
                            </w:rPr>
                            <w:t>Comunicado de prensa · Press Release</w:t>
                          </w:r>
                        </w:p>
                      </w:txbxContent>
                    </wps:txbx>
                    <wps:bodyPr rot="0" vert="horz" wrap="square" lIns="91440" tIns="45720" rIns="91440" bIns="45720" anchor="t" anchorCtr="0">
                      <a:noAutofit/>
                    </wps:bodyPr>
                  </wps:wsp>
                </a:graphicData>
              </a:graphic>
            </wp:anchor>
          </w:drawing>
        </mc:Choice>
        <mc:Fallback>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77777777" w:rsidR="00192633" w:rsidRPr="00EC4EE6" w:rsidRDefault="00192633" w:rsidP="00192633">
                    <w:pPr>
                      <w:jc w:val="center"/>
                      <w:rPr>
                        <w:b/>
                        <w:sz w:val="36"/>
                        <w:szCs w:val="36"/>
                      </w:rPr>
                    </w:pPr>
                    <w:r>
                      <w:rPr>
                        <w:b/>
                        <w:sz w:val="36"/>
                      </w:rPr>
                      <w:t>Comunicado de prensa · Press Release</w:t>
                    </w:r>
                  </w:p>
                </w:txbxContent>
              </v:textbox>
            </v:shape>
          </w:pict>
        </mc:Fallback>
      </mc:AlternateContent>
    </w:r>
    <w:r>
      <w:rPr>
        <w:rFonts w:ascii="Verdana" w:hAnsi="Verdana"/>
        <w:sz w:val="20"/>
      </w:rPr>
      <w:t xml:space="preserve">LogiMAT 2026  </w:t>
    </w:r>
  </w:p>
  <w:p w14:paraId="11D88831" w14:textId="5FB48749" w:rsidR="00DE0887" w:rsidRPr="00E35745" w:rsidRDefault="00701C32" w:rsidP="77017669">
    <w:pPr>
      <w:pStyle w:val="Header"/>
      <w:tabs>
        <w:tab w:val="clear" w:pos="9071"/>
      </w:tabs>
      <w:spacing w:line="360" w:lineRule="auto"/>
      <w:ind w:right="-8"/>
      <w:rPr>
        <w:rFonts w:ascii="Verdana" w:hAnsi="Verdana" w:cs="Times New Roman"/>
        <w:b/>
        <w:bCs/>
        <w:sz w:val="22"/>
        <w:szCs w:val="22"/>
      </w:rPr>
    </w:pPr>
    <w:r>
      <w:rPr>
        <w:rFonts w:ascii="Verdana" w:hAnsi="Verdana"/>
        <w:b/>
        <w:sz w:val="32"/>
      </w:rPr>
      <w:t>STILL presenta una novedad mundial: La AXL 15 iGo automatiza la carga y descarga de camiones</w:t>
    </w:r>
    <w:r>
      <w:rPr>
        <w:rFonts w:ascii="Verdana" w:hAnsi="Verdana"/>
        <w:b/>
        <w:sz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7"/>
  </w:num>
  <w:num w:numId="5" w16cid:durableId="903494178">
    <w:abstractNumId w:val="4"/>
  </w:num>
  <w:num w:numId="6" w16cid:durableId="352659013">
    <w:abstractNumId w:val="1"/>
  </w:num>
  <w:num w:numId="7" w16cid:durableId="924067655">
    <w:abstractNumId w:val="5"/>
  </w:num>
  <w:num w:numId="8" w16cid:durableId="885682917">
    <w:abstractNumId w:val="5"/>
  </w:num>
  <w:num w:numId="9" w16cid:durableId="82346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413"/>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5C1"/>
    <w:rsid w:val="00017AE6"/>
    <w:rsid w:val="00017B93"/>
    <w:rsid w:val="00020303"/>
    <w:rsid w:val="00021445"/>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1C35"/>
    <w:rsid w:val="000625FE"/>
    <w:rsid w:val="00063656"/>
    <w:rsid w:val="00063682"/>
    <w:rsid w:val="00063811"/>
    <w:rsid w:val="000639C0"/>
    <w:rsid w:val="000644F5"/>
    <w:rsid w:val="00067231"/>
    <w:rsid w:val="000674CD"/>
    <w:rsid w:val="000706DF"/>
    <w:rsid w:val="000717A1"/>
    <w:rsid w:val="000723A7"/>
    <w:rsid w:val="00072533"/>
    <w:rsid w:val="00072844"/>
    <w:rsid w:val="00072E27"/>
    <w:rsid w:val="000730FC"/>
    <w:rsid w:val="00075E2B"/>
    <w:rsid w:val="00076199"/>
    <w:rsid w:val="00077BC1"/>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2C2A"/>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F0117"/>
    <w:rsid w:val="000F171F"/>
    <w:rsid w:val="000F2FF1"/>
    <w:rsid w:val="000F4625"/>
    <w:rsid w:val="000F503B"/>
    <w:rsid w:val="000F5A42"/>
    <w:rsid w:val="000F5C64"/>
    <w:rsid w:val="000F6023"/>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05"/>
    <w:rsid w:val="0013511D"/>
    <w:rsid w:val="00136BCD"/>
    <w:rsid w:val="00137149"/>
    <w:rsid w:val="00137A63"/>
    <w:rsid w:val="00137D9F"/>
    <w:rsid w:val="00140147"/>
    <w:rsid w:val="00140B34"/>
    <w:rsid w:val="0014178C"/>
    <w:rsid w:val="00142470"/>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278"/>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5FB"/>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06A"/>
    <w:rsid w:val="001E54D7"/>
    <w:rsid w:val="001E6230"/>
    <w:rsid w:val="001E6BDD"/>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6252"/>
    <w:rsid w:val="00237641"/>
    <w:rsid w:val="00237FF7"/>
    <w:rsid w:val="002407A4"/>
    <w:rsid w:val="002414FD"/>
    <w:rsid w:val="00241CD2"/>
    <w:rsid w:val="00243AF9"/>
    <w:rsid w:val="00244ECE"/>
    <w:rsid w:val="00244EF0"/>
    <w:rsid w:val="0024521B"/>
    <w:rsid w:val="002457A9"/>
    <w:rsid w:val="00246665"/>
    <w:rsid w:val="00247260"/>
    <w:rsid w:val="002525C6"/>
    <w:rsid w:val="0025299C"/>
    <w:rsid w:val="00252CEB"/>
    <w:rsid w:val="002551AB"/>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4196"/>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2D8"/>
    <w:rsid w:val="003221CB"/>
    <w:rsid w:val="00323471"/>
    <w:rsid w:val="0032420C"/>
    <w:rsid w:val="00325012"/>
    <w:rsid w:val="00325834"/>
    <w:rsid w:val="003264CF"/>
    <w:rsid w:val="00326769"/>
    <w:rsid w:val="003268AC"/>
    <w:rsid w:val="00326C85"/>
    <w:rsid w:val="003279FF"/>
    <w:rsid w:val="003308C4"/>
    <w:rsid w:val="00333BA0"/>
    <w:rsid w:val="0033435F"/>
    <w:rsid w:val="003351BC"/>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F32"/>
    <w:rsid w:val="003603D4"/>
    <w:rsid w:val="00361086"/>
    <w:rsid w:val="00361380"/>
    <w:rsid w:val="00361853"/>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59D"/>
    <w:rsid w:val="00396919"/>
    <w:rsid w:val="00396D6F"/>
    <w:rsid w:val="00397463"/>
    <w:rsid w:val="00397664"/>
    <w:rsid w:val="00397709"/>
    <w:rsid w:val="003A0610"/>
    <w:rsid w:val="003A0AE3"/>
    <w:rsid w:val="003A19FE"/>
    <w:rsid w:val="003A285C"/>
    <w:rsid w:val="003A374D"/>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F8"/>
    <w:rsid w:val="003C6C32"/>
    <w:rsid w:val="003D043A"/>
    <w:rsid w:val="003D0D37"/>
    <w:rsid w:val="003D13DF"/>
    <w:rsid w:val="003D1DC0"/>
    <w:rsid w:val="003D22E5"/>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702C"/>
    <w:rsid w:val="00477A7B"/>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51A"/>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4E5"/>
    <w:rsid w:val="004E4C36"/>
    <w:rsid w:val="004E585C"/>
    <w:rsid w:val="004E6976"/>
    <w:rsid w:val="004E6EAD"/>
    <w:rsid w:val="004E70EE"/>
    <w:rsid w:val="004F00DC"/>
    <w:rsid w:val="004F14B4"/>
    <w:rsid w:val="004F1BB5"/>
    <w:rsid w:val="004F1C37"/>
    <w:rsid w:val="004F1CE0"/>
    <w:rsid w:val="004F23EA"/>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D3"/>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4E01"/>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569A"/>
    <w:rsid w:val="005A6F8E"/>
    <w:rsid w:val="005A724D"/>
    <w:rsid w:val="005B0F2B"/>
    <w:rsid w:val="005B147A"/>
    <w:rsid w:val="005B14C8"/>
    <w:rsid w:val="005B1726"/>
    <w:rsid w:val="005B18A3"/>
    <w:rsid w:val="005B2E0E"/>
    <w:rsid w:val="005B4805"/>
    <w:rsid w:val="005B48CA"/>
    <w:rsid w:val="005B601A"/>
    <w:rsid w:val="005C13ED"/>
    <w:rsid w:val="005C297E"/>
    <w:rsid w:val="005C3202"/>
    <w:rsid w:val="005C41CE"/>
    <w:rsid w:val="005C4524"/>
    <w:rsid w:val="005C4E5A"/>
    <w:rsid w:val="005C58DE"/>
    <w:rsid w:val="005C596E"/>
    <w:rsid w:val="005C63B3"/>
    <w:rsid w:val="005D0D6D"/>
    <w:rsid w:val="005D1B96"/>
    <w:rsid w:val="005D2410"/>
    <w:rsid w:val="005D3216"/>
    <w:rsid w:val="005D4AFB"/>
    <w:rsid w:val="005D6F97"/>
    <w:rsid w:val="005D7629"/>
    <w:rsid w:val="005D77FF"/>
    <w:rsid w:val="005E06BB"/>
    <w:rsid w:val="005E0B2E"/>
    <w:rsid w:val="005E0E81"/>
    <w:rsid w:val="005E13DA"/>
    <w:rsid w:val="005E14CA"/>
    <w:rsid w:val="005E16B9"/>
    <w:rsid w:val="005E3071"/>
    <w:rsid w:val="005E3330"/>
    <w:rsid w:val="005E33EE"/>
    <w:rsid w:val="005E4016"/>
    <w:rsid w:val="005E41B9"/>
    <w:rsid w:val="005E42C0"/>
    <w:rsid w:val="005E4C31"/>
    <w:rsid w:val="005E59C2"/>
    <w:rsid w:val="005F0A53"/>
    <w:rsid w:val="005F0C68"/>
    <w:rsid w:val="005F1E4A"/>
    <w:rsid w:val="005F21E0"/>
    <w:rsid w:val="005F3BB1"/>
    <w:rsid w:val="005F48B8"/>
    <w:rsid w:val="005F498E"/>
    <w:rsid w:val="005F49CA"/>
    <w:rsid w:val="005F4E54"/>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1778"/>
    <w:rsid w:val="006220D4"/>
    <w:rsid w:val="00622E8C"/>
    <w:rsid w:val="006234CC"/>
    <w:rsid w:val="0062399F"/>
    <w:rsid w:val="00623E16"/>
    <w:rsid w:val="00623F6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6118"/>
    <w:rsid w:val="006474BA"/>
    <w:rsid w:val="00647F1B"/>
    <w:rsid w:val="00650054"/>
    <w:rsid w:val="00650AC5"/>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24F"/>
    <w:rsid w:val="006A43E6"/>
    <w:rsid w:val="006A5E9B"/>
    <w:rsid w:val="006A5FE3"/>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669D"/>
    <w:rsid w:val="006B6DE6"/>
    <w:rsid w:val="006B71CA"/>
    <w:rsid w:val="006C0273"/>
    <w:rsid w:val="006C1083"/>
    <w:rsid w:val="006C1F88"/>
    <w:rsid w:val="006C354D"/>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3BC"/>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F63"/>
    <w:rsid w:val="00765D1B"/>
    <w:rsid w:val="0076659B"/>
    <w:rsid w:val="007665A9"/>
    <w:rsid w:val="007668C7"/>
    <w:rsid w:val="007671CF"/>
    <w:rsid w:val="00767533"/>
    <w:rsid w:val="00770C3F"/>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449"/>
    <w:rsid w:val="007B4F2C"/>
    <w:rsid w:val="007B683D"/>
    <w:rsid w:val="007B68BC"/>
    <w:rsid w:val="007C049A"/>
    <w:rsid w:val="007C05C9"/>
    <w:rsid w:val="007C2EEE"/>
    <w:rsid w:val="007C3663"/>
    <w:rsid w:val="007C4D0D"/>
    <w:rsid w:val="007C5B0A"/>
    <w:rsid w:val="007C6269"/>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3AE5"/>
    <w:rsid w:val="007E48F9"/>
    <w:rsid w:val="007E4944"/>
    <w:rsid w:val="007E4D57"/>
    <w:rsid w:val="007E53E6"/>
    <w:rsid w:val="007E56E9"/>
    <w:rsid w:val="007E59AD"/>
    <w:rsid w:val="007E5C3D"/>
    <w:rsid w:val="007E69E0"/>
    <w:rsid w:val="007E6CE7"/>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09FE"/>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629"/>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759D"/>
    <w:rsid w:val="008B297E"/>
    <w:rsid w:val="008B2A24"/>
    <w:rsid w:val="008B3055"/>
    <w:rsid w:val="008B52B2"/>
    <w:rsid w:val="008B72E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C81"/>
    <w:rsid w:val="008E5500"/>
    <w:rsid w:val="008E6951"/>
    <w:rsid w:val="008E72A3"/>
    <w:rsid w:val="008F17AE"/>
    <w:rsid w:val="008F2AA2"/>
    <w:rsid w:val="008F2F72"/>
    <w:rsid w:val="008F3464"/>
    <w:rsid w:val="008F4E18"/>
    <w:rsid w:val="008F5152"/>
    <w:rsid w:val="008F5BF9"/>
    <w:rsid w:val="008F7275"/>
    <w:rsid w:val="00900CFC"/>
    <w:rsid w:val="00900F49"/>
    <w:rsid w:val="0090187F"/>
    <w:rsid w:val="00903361"/>
    <w:rsid w:val="00904E33"/>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20E0"/>
    <w:rsid w:val="00942322"/>
    <w:rsid w:val="009436B5"/>
    <w:rsid w:val="00945481"/>
    <w:rsid w:val="009467E7"/>
    <w:rsid w:val="00946C6A"/>
    <w:rsid w:val="0094733A"/>
    <w:rsid w:val="00951398"/>
    <w:rsid w:val="009520C3"/>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7A0"/>
    <w:rsid w:val="009853A3"/>
    <w:rsid w:val="0098588C"/>
    <w:rsid w:val="0098639D"/>
    <w:rsid w:val="009867BE"/>
    <w:rsid w:val="009867BF"/>
    <w:rsid w:val="00987D13"/>
    <w:rsid w:val="00990133"/>
    <w:rsid w:val="00992CDB"/>
    <w:rsid w:val="00993FAC"/>
    <w:rsid w:val="00994F06"/>
    <w:rsid w:val="009950EE"/>
    <w:rsid w:val="009951B2"/>
    <w:rsid w:val="00995EB3"/>
    <w:rsid w:val="0099606D"/>
    <w:rsid w:val="00996A28"/>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532E"/>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8B6"/>
    <w:rsid w:val="00AF51B2"/>
    <w:rsid w:val="00AF5481"/>
    <w:rsid w:val="00AF6044"/>
    <w:rsid w:val="00AF6FEA"/>
    <w:rsid w:val="00AF7D78"/>
    <w:rsid w:val="00B00DFB"/>
    <w:rsid w:val="00B01079"/>
    <w:rsid w:val="00B01FC6"/>
    <w:rsid w:val="00B02BAE"/>
    <w:rsid w:val="00B03628"/>
    <w:rsid w:val="00B04C0F"/>
    <w:rsid w:val="00B064F7"/>
    <w:rsid w:val="00B06E12"/>
    <w:rsid w:val="00B1342C"/>
    <w:rsid w:val="00B14BCD"/>
    <w:rsid w:val="00B15822"/>
    <w:rsid w:val="00B168E9"/>
    <w:rsid w:val="00B17544"/>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50E5"/>
    <w:rsid w:val="00B45213"/>
    <w:rsid w:val="00B454E8"/>
    <w:rsid w:val="00B458E6"/>
    <w:rsid w:val="00B470EF"/>
    <w:rsid w:val="00B4781F"/>
    <w:rsid w:val="00B5016E"/>
    <w:rsid w:val="00B5056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4E22"/>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4D2"/>
    <w:rsid w:val="00BD268F"/>
    <w:rsid w:val="00BD29C4"/>
    <w:rsid w:val="00BD2A37"/>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BF5DCE"/>
    <w:rsid w:val="00C009D5"/>
    <w:rsid w:val="00C017A8"/>
    <w:rsid w:val="00C02182"/>
    <w:rsid w:val="00C0326C"/>
    <w:rsid w:val="00C05E3D"/>
    <w:rsid w:val="00C07635"/>
    <w:rsid w:val="00C07CB7"/>
    <w:rsid w:val="00C10140"/>
    <w:rsid w:val="00C105DB"/>
    <w:rsid w:val="00C116D1"/>
    <w:rsid w:val="00C11B98"/>
    <w:rsid w:val="00C12262"/>
    <w:rsid w:val="00C13A99"/>
    <w:rsid w:val="00C1462F"/>
    <w:rsid w:val="00C14A79"/>
    <w:rsid w:val="00C14A7C"/>
    <w:rsid w:val="00C1610B"/>
    <w:rsid w:val="00C21E7B"/>
    <w:rsid w:val="00C2239D"/>
    <w:rsid w:val="00C22696"/>
    <w:rsid w:val="00C23E02"/>
    <w:rsid w:val="00C24227"/>
    <w:rsid w:val="00C2635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5529"/>
    <w:rsid w:val="00CF5761"/>
    <w:rsid w:val="00CF736D"/>
    <w:rsid w:val="00CF74F9"/>
    <w:rsid w:val="00D01F79"/>
    <w:rsid w:val="00D0223F"/>
    <w:rsid w:val="00D026C0"/>
    <w:rsid w:val="00D02F34"/>
    <w:rsid w:val="00D033FE"/>
    <w:rsid w:val="00D036F1"/>
    <w:rsid w:val="00D03E6A"/>
    <w:rsid w:val="00D05826"/>
    <w:rsid w:val="00D05BDA"/>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A9D"/>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152F"/>
    <w:rsid w:val="00DB1930"/>
    <w:rsid w:val="00DB483A"/>
    <w:rsid w:val="00DB5E59"/>
    <w:rsid w:val="00DB6877"/>
    <w:rsid w:val="00DB779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9AC"/>
    <w:rsid w:val="00E26EAE"/>
    <w:rsid w:val="00E26EC8"/>
    <w:rsid w:val="00E2738B"/>
    <w:rsid w:val="00E300A6"/>
    <w:rsid w:val="00E30525"/>
    <w:rsid w:val="00E30A1C"/>
    <w:rsid w:val="00E32130"/>
    <w:rsid w:val="00E32A01"/>
    <w:rsid w:val="00E33565"/>
    <w:rsid w:val="00E34745"/>
    <w:rsid w:val="00E35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769"/>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E3B"/>
    <w:rsid w:val="00F300F6"/>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235"/>
    <w:rsid w:val="00F96589"/>
    <w:rsid w:val="00F973A8"/>
    <w:rsid w:val="00F97AC2"/>
    <w:rsid w:val="00FA0402"/>
    <w:rsid w:val="00FA135F"/>
    <w:rsid w:val="00FA2141"/>
    <w:rsid w:val="00FA278A"/>
    <w:rsid w:val="00FA37FF"/>
    <w:rsid w:val="00FA3FBC"/>
    <w:rsid w:val="00FA503B"/>
    <w:rsid w:val="00FA6156"/>
    <w:rsid w:val="00FA7E71"/>
    <w:rsid w:val="00FB08D1"/>
    <w:rsid w:val="00FB0B23"/>
    <w:rsid w:val="00FB1616"/>
    <w:rsid w:val="00FB183B"/>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FF5"/>
    <w:rsid w:val="00FC30B3"/>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F3FBE1D-B40D-4CC4-8099-53ECD91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7F"/>
    <w:rPr>
      <w:rFonts w:ascii="Arial" w:hAnsi="Arial" w:cs="Arial"/>
      <w:sz w:val="24"/>
      <w:szCs w:val="24"/>
    </w:rPr>
  </w:style>
  <w:style w:type="paragraph" w:styleId="Heading1">
    <w:name w:val="heading 1"/>
    <w:basedOn w:val="Normal"/>
    <w:next w:val="Normal"/>
    <w:link w:val="Heading1Char"/>
    <w:uiPriority w:val="99"/>
    <w:qFormat/>
    <w:rsid w:val="004A6D7F"/>
    <w:pPr>
      <w:keepNext/>
      <w:spacing w:line="360" w:lineRule="auto"/>
      <w:outlineLvl w:val="0"/>
    </w:pPr>
    <w:rPr>
      <w:rFonts w:ascii="Verdana" w:hAnsi="Verdana"/>
      <w:b/>
      <w:bCs/>
      <w:sz w:val="28"/>
      <w:szCs w:val="20"/>
      <w:u w:val="single"/>
    </w:rPr>
  </w:style>
  <w:style w:type="paragraph" w:styleId="Heading3">
    <w:name w:val="heading 3"/>
    <w:basedOn w:val="Normal"/>
    <w:next w:val="Normal"/>
    <w:link w:val="Heading3Char"/>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60B1"/>
    <w:rPr>
      <w:rFonts w:ascii="Cambria" w:hAnsi="Cambria" w:cs="Times New Roman"/>
      <w:b/>
      <w:bCs/>
      <w:kern w:val="32"/>
      <w:sz w:val="32"/>
      <w:szCs w:val="32"/>
    </w:rPr>
  </w:style>
  <w:style w:type="paragraph" w:styleId="Footer">
    <w:name w:val="footer"/>
    <w:basedOn w:val="Normal"/>
    <w:link w:val="FooterChar"/>
    <w:uiPriority w:val="99"/>
    <w:rsid w:val="004A6D7F"/>
    <w:pPr>
      <w:tabs>
        <w:tab w:val="center" w:pos="4819"/>
        <w:tab w:val="right" w:pos="9071"/>
      </w:tabs>
    </w:pPr>
  </w:style>
  <w:style w:type="character" w:customStyle="1" w:styleId="FooterChar">
    <w:name w:val="Footer Char"/>
    <w:basedOn w:val="DefaultParagraphFont"/>
    <w:link w:val="Footer"/>
    <w:uiPriority w:val="99"/>
    <w:locked/>
    <w:rsid w:val="004160B1"/>
    <w:rPr>
      <w:rFonts w:ascii="Arial" w:hAnsi="Arial" w:cs="Arial"/>
      <w:sz w:val="24"/>
      <w:szCs w:val="24"/>
    </w:rPr>
  </w:style>
  <w:style w:type="paragraph" w:styleId="Header">
    <w:name w:val="header"/>
    <w:basedOn w:val="Normal"/>
    <w:link w:val="HeaderChar"/>
    <w:uiPriority w:val="99"/>
    <w:rsid w:val="004A6D7F"/>
    <w:pPr>
      <w:tabs>
        <w:tab w:val="center" w:pos="4819"/>
        <w:tab w:val="right" w:pos="9071"/>
      </w:tabs>
    </w:pPr>
  </w:style>
  <w:style w:type="character" w:customStyle="1" w:styleId="HeaderChar">
    <w:name w:val="Header Char"/>
    <w:basedOn w:val="DefaultParagraphFont"/>
    <w:link w:val="Header"/>
    <w:uiPriority w:val="99"/>
    <w:semiHidden/>
    <w:locked/>
    <w:rsid w:val="004160B1"/>
    <w:rPr>
      <w:rFonts w:ascii="Arial" w:hAnsi="Arial" w:cs="Arial"/>
      <w:sz w:val="24"/>
      <w:szCs w:val="24"/>
    </w:rPr>
  </w:style>
  <w:style w:type="character" w:styleId="Hyperlink">
    <w:name w:val="Hyperlink"/>
    <w:basedOn w:val="DefaultParagraphFont"/>
    <w:uiPriority w:val="99"/>
    <w:rsid w:val="004A6D7F"/>
    <w:rPr>
      <w:rFonts w:cs="Times New Roman"/>
      <w:color w:val="0000FF"/>
      <w:u w:val="single"/>
    </w:rPr>
  </w:style>
  <w:style w:type="paragraph" w:styleId="BodyText">
    <w:name w:val="Body Text"/>
    <w:basedOn w:val="Normal"/>
    <w:link w:val="BodyTextChar"/>
    <w:uiPriority w:val="99"/>
    <w:rsid w:val="004A6D7F"/>
    <w:pPr>
      <w:spacing w:line="360" w:lineRule="auto"/>
    </w:pPr>
    <w:rPr>
      <w:rFonts w:ascii="Times New Roman" w:hAnsi="Times New Roman" w:cs="Times New Roman"/>
      <w:b/>
      <w:sz w:val="36"/>
    </w:rPr>
  </w:style>
  <w:style w:type="character" w:customStyle="1" w:styleId="BodyTextChar">
    <w:name w:val="Body Text Char"/>
    <w:basedOn w:val="DefaultParagraphFont"/>
    <w:link w:val="BodyText"/>
    <w:uiPriority w:val="99"/>
    <w:semiHidden/>
    <w:locked/>
    <w:rsid w:val="004160B1"/>
    <w:rPr>
      <w:rFonts w:ascii="Arial" w:hAnsi="Arial" w:cs="Arial"/>
      <w:sz w:val="24"/>
      <w:szCs w:val="24"/>
    </w:rPr>
  </w:style>
  <w:style w:type="paragraph" w:customStyle="1" w:styleId="HS-AS-Standardbrief">
    <w:name w:val="HS-AS-Standardbrief"/>
    <w:basedOn w:val="FootnoteText"/>
    <w:uiPriority w:val="99"/>
    <w:rsid w:val="004A6D7F"/>
    <w:rPr>
      <w:rFonts w:cs="Times New Roman"/>
      <w:sz w:val="24"/>
    </w:rPr>
  </w:style>
  <w:style w:type="paragraph" w:styleId="FootnoteText">
    <w:name w:val="footnote text"/>
    <w:basedOn w:val="Normal"/>
    <w:link w:val="FootnoteTextChar"/>
    <w:uiPriority w:val="99"/>
    <w:semiHidden/>
    <w:rsid w:val="004A6D7F"/>
    <w:rPr>
      <w:sz w:val="20"/>
      <w:szCs w:val="20"/>
    </w:rPr>
  </w:style>
  <w:style w:type="character" w:customStyle="1" w:styleId="FootnoteTextChar">
    <w:name w:val="Footnote Text Char"/>
    <w:basedOn w:val="DefaultParagraphFont"/>
    <w:link w:val="FootnoteText"/>
    <w:uiPriority w:val="99"/>
    <w:semiHidden/>
    <w:locked/>
    <w:rsid w:val="004160B1"/>
    <w:rPr>
      <w:rFonts w:ascii="Arial" w:hAnsi="Arial" w:cs="Arial"/>
      <w:sz w:val="20"/>
      <w:szCs w:val="20"/>
    </w:rPr>
  </w:style>
  <w:style w:type="paragraph" w:styleId="BalloonText">
    <w:name w:val="Balloon Text"/>
    <w:basedOn w:val="Normal"/>
    <w:link w:val="BalloonTextChar"/>
    <w:uiPriority w:val="99"/>
    <w:semiHidden/>
    <w:rsid w:val="004A6D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60B1"/>
    <w:rPr>
      <w:rFonts w:cs="Arial"/>
      <w:sz w:val="2"/>
    </w:rPr>
  </w:style>
  <w:style w:type="paragraph" w:styleId="BodyTextIndent">
    <w:name w:val="Body Text Indent"/>
    <w:basedOn w:val="Normal"/>
    <w:link w:val="BodyTextIndentChar"/>
    <w:uiPriority w:val="99"/>
    <w:rsid w:val="004A6D7F"/>
    <w:pPr>
      <w:spacing w:line="360" w:lineRule="auto"/>
      <w:ind w:left="-1134"/>
    </w:pPr>
    <w:rPr>
      <w:rFonts w:ascii="Verdana" w:hAnsi="Verdana"/>
    </w:rPr>
  </w:style>
  <w:style w:type="character" w:customStyle="1" w:styleId="BodyTextIndentChar">
    <w:name w:val="Body Text Indent Char"/>
    <w:basedOn w:val="DefaultParagraphFont"/>
    <w:link w:val="BodyTextIndent"/>
    <w:uiPriority w:val="99"/>
    <w:semiHidden/>
    <w:locked/>
    <w:rsid w:val="004160B1"/>
    <w:rPr>
      <w:rFonts w:ascii="Arial" w:hAnsi="Arial" w:cs="Arial"/>
      <w:sz w:val="24"/>
      <w:szCs w:val="24"/>
    </w:rPr>
  </w:style>
  <w:style w:type="character" w:styleId="Strong">
    <w:name w:val="Strong"/>
    <w:basedOn w:val="DefaultParagraphFont"/>
    <w:uiPriority w:val="22"/>
    <w:qFormat/>
    <w:rsid w:val="00353E32"/>
    <w:rPr>
      <w:rFonts w:cs="Times New Roman"/>
      <w:b/>
    </w:rPr>
  </w:style>
  <w:style w:type="character" w:styleId="Emphasis">
    <w:name w:val="Emphasis"/>
    <w:basedOn w:val="DefaultParagraphFont"/>
    <w:uiPriority w:val="99"/>
    <w:qFormat/>
    <w:locked/>
    <w:rsid w:val="00792072"/>
    <w:rPr>
      <w:rFonts w:cs="Times New Roman"/>
      <w:i/>
    </w:rPr>
  </w:style>
  <w:style w:type="character" w:styleId="SubtleEmphasis">
    <w:name w:val="Subtle Emphasis"/>
    <w:basedOn w:val="DefaultParagraphFont"/>
    <w:uiPriority w:val="19"/>
    <w:qFormat/>
    <w:rsid w:val="00D12E3E"/>
    <w:rPr>
      <w:i/>
      <w:iCs/>
      <w:color w:val="808080" w:themeColor="text1" w:themeTint="7F"/>
    </w:rPr>
  </w:style>
  <w:style w:type="paragraph" w:styleId="NormalWeb">
    <w:name w:val="Normal (Web)"/>
    <w:basedOn w:val="Normal"/>
    <w:uiPriority w:val="99"/>
    <w:unhideWhenUsed/>
    <w:rsid w:val="00EB7985"/>
    <w:rPr>
      <w:rFonts w:ascii="Times New Roman" w:hAnsi="Times New Roman" w:cs="Times New Roman"/>
    </w:rPr>
  </w:style>
  <w:style w:type="paragraph" w:customStyle="1" w:styleId="EinfacherAbsatz">
    <w:name w:val="[Einfacher Absatz]"/>
    <w:basedOn w:val="Normal"/>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unhideWhenUsed/>
    <w:rsid w:val="002C5172"/>
    <w:rPr>
      <w:color w:val="808080"/>
      <w:shd w:val="clear" w:color="auto" w:fill="E6E6E6"/>
    </w:rPr>
  </w:style>
  <w:style w:type="character" w:styleId="FollowedHyperlink">
    <w:name w:val="FollowedHyperlink"/>
    <w:basedOn w:val="DefaultParagraphFont"/>
    <w:uiPriority w:val="99"/>
    <w:semiHidden/>
    <w:unhideWhenUsed/>
    <w:rsid w:val="00487B6E"/>
    <w:rPr>
      <w:color w:val="800080" w:themeColor="followedHyperlink"/>
      <w:u w:val="single"/>
    </w:rPr>
  </w:style>
  <w:style w:type="paragraph" w:styleId="Revision">
    <w:name w:val="Revision"/>
    <w:hidden/>
    <w:uiPriority w:val="99"/>
    <w:semiHidden/>
    <w:rsid w:val="001B253A"/>
    <w:rPr>
      <w:rFonts w:ascii="Arial" w:hAnsi="Arial" w:cs="Arial"/>
      <w:sz w:val="24"/>
      <w:szCs w:val="24"/>
    </w:rPr>
  </w:style>
  <w:style w:type="paragraph" w:styleId="ListParagraph">
    <w:name w:val="List Paragraph"/>
    <w:basedOn w:val="Normal"/>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Normal"/>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4156F"/>
  </w:style>
  <w:style w:type="character" w:customStyle="1" w:styleId="apple-converted-space">
    <w:name w:val="apple-converted-space"/>
    <w:basedOn w:val="DefaultParagraphFont"/>
    <w:rsid w:val="00F4156F"/>
  </w:style>
  <w:style w:type="character" w:customStyle="1" w:styleId="eop">
    <w:name w:val="eop"/>
    <w:basedOn w:val="DefaultParagraphFont"/>
    <w:rsid w:val="00F4156F"/>
  </w:style>
  <w:style w:type="character" w:styleId="Mention">
    <w:name w:val="Mention"/>
    <w:basedOn w:val="DefaultParagraphFont"/>
    <w:uiPriority w:val="99"/>
    <w:unhideWhenUsed/>
    <w:rsid w:val="00165A6B"/>
    <w:rPr>
      <w:color w:val="2B579A"/>
      <w:shd w:val="clear" w:color="auto" w:fill="E1DFDD"/>
    </w:rPr>
  </w:style>
  <w:style w:type="character" w:customStyle="1" w:styleId="Heading3Char">
    <w:name w:val="Heading 3 Char"/>
    <w:basedOn w:val="DefaultParagraphFont"/>
    <w:link w:val="Heading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DefaultParagraphFont"/>
    <w:rsid w:val="00F47C3B"/>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4F80"/>
    <w:rPr>
      <w:b/>
      <w:bCs/>
    </w:rPr>
  </w:style>
  <w:style w:type="character" w:customStyle="1" w:styleId="CommentSubjectChar">
    <w:name w:val="Comment Subject Char"/>
    <w:basedOn w:val="CommentTextChar"/>
    <w:link w:val="CommentSubject"/>
    <w:uiPriority w:val="99"/>
    <w:semiHidden/>
    <w:rsid w:val="00714F80"/>
    <w:rPr>
      <w:rFonts w:ascii="Arial" w:hAnsi="Arial" w:cs="Arial"/>
      <w:b/>
      <w:bCs/>
      <w:sz w:val="20"/>
      <w:szCs w:val="20"/>
    </w:rPr>
  </w:style>
  <w:style w:type="character" w:customStyle="1" w:styleId="CommentReference1">
    <w:name w:val="Comment Reference1"/>
    <w:basedOn w:val="DefaultParagraphFont"/>
    <w:uiPriority w:val="99"/>
    <w:rsid w:val="00FB38A7"/>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3469">
      <w:bodyDiv w:val="1"/>
      <w:marLeft w:val="0"/>
      <w:marRight w:val="0"/>
      <w:marTop w:val="0"/>
      <w:marBottom w:val="0"/>
      <w:divBdr>
        <w:top w:val="none" w:sz="0" w:space="0" w:color="auto"/>
        <w:left w:val="none" w:sz="0" w:space="0" w:color="auto"/>
        <w:bottom w:val="none" w:sz="0" w:space="0" w:color="auto"/>
        <w:right w:val="none" w:sz="0" w:space="0" w:color="auto"/>
      </w:divBdr>
    </w:div>
    <w:div w:id="83262887">
      <w:bodyDiv w:val="1"/>
      <w:marLeft w:val="0"/>
      <w:marRight w:val="0"/>
      <w:marTop w:val="0"/>
      <w:marBottom w:val="0"/>
      <w:divBdr>
        <w:top w:val="none" w:sz="0" w:space="0" w:color="auto"/>
        <w:left w:val="none" w:sz="0" w:space="0" w:color="auto"/>
        <w:bottom w:val="none" w:sz="0" w:space="0" w:color="auto"/>
        <w:right w:val="none" w:sz="0" w:space="0" w:color="auto"/>
      </w:divBdr>
    </w:div>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264115523">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8057">
      <w:bodyDiv w:val="1"/>
      <w:marLeft w:val="0"/>
      <w:marRight w:val="0"/>
      <w:marTop w:val="0"/>
      <w:marBottom w:val="0"/>
      <w:divBdr>
        <w:top w:val="none" w:sz="0" w:space="0" w:color="auto"/>
        <w:left w:val="none" w:sz="0" w:space="0" w:color="auto"/>
        <w:bottom w:val="none" w:sz="0" w:space="0" w:color="auto"/>
        <w:right w:val="none" w:sz="0" w:space="0" w:color="auto"/>
      </w:divBdr>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still-espa&#241;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ll.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tricia@nal3.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tricia@nal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33692-692F-44B2-A304-955070B2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3.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4.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985</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Presseinfo</vt:lpstr>
    </vt:vector>
  </TitlesOfParts>
  <Company>STILL GmbH</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De Pedro, Tamar</cp:lastModifiedBy>
  <cp:revision>4</cp:revision>
  <cp:lastPrinted>2022-08-19T12:29:00Z</cp:lastPrinted>
  <dcterms:created xsi:type="dcterms:W3CDTF">2026-03-20T07:31:00Z</dcterms:created>
  <dcterms:modified xsi:type="dcterms:W3CDTF">2026-03-20T10:49:00Z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